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DD65" w14:textId="77777777" w:rsidR="009745FC" w:rsidRPr="00075AF8" w:rsidRDefault="009745FC" w:rsidP="00E52F0B">
      <w:pPr>
        <w:autoSpaceDE w:val="0"/>
        <w:autoSpaceDN w:val="0"/>
        <w:adjustRightInd w:val="0"/>
        <w:rPr>
          <w:rFonts w:ascii="Calibri" w:eastAsia="GillSans" w:hAnsi="Calibri" w:cs="Calibri"/>
          <w:color w:val="000000"/>
          <w:sz w:val="48"/>
          <w:szCs w:val="48"/>
        </w:rPr>
      </w:pPr>
      <w:r w:rsidRPr="00075AF8">
        <w:rPr>
          <w:rFonts w:ascii="Calibri" w:eastAsia="GillSans" w:hAnsi="Calibri" w:cs="Calibri"/>
          <w:color w:val="000000"/>
          <w:sz w:val="48"/>
          <w:szCs w:val="48"/>
        </w:rPr>
        <w:t>Manhattan Hydra Project</w:t>
      </w:r>
    </w:p>
    <w:p w14:paraId="34A93978" w14:textId="77777777" w:rsidR="00A471E8" w:rsidRPr="00075AF8" w:rsidRDefault="00A471E8" w:rsidP="00E52F0B">
      <w:pPr>
        <w:autoSpaceDE w:val="0"/>
        <w:autoSpaceDN w:val="0"/>
        <w:adjustRightInd w:val="0"/>
        <w:rPr>
          <w:rFonts w:ascii="Calibri" w:eastAsia="GillSans" w:hAnsi="Calibri" w:cs="Calibri"/>
          <w:color w:val="000000"/>
          <w:sz w:val="36"/>
          <w:szCs w:val="36"/>
        </w:rPr>
      </w:pPr>
    </w:p>
    <w:p w14:paraId="5B0E78E6" w14:textId="77777777" w:rsidR="00E52F0B" w:rsidRPr="00075AF8" w:rsidRDefault="00E52F0B" w:rsidP="00E52F0B">
      <w:pPr>
        <w:autoSpaceDE w:val="0"/>
        <w:autoSpaceDN w:val="0"/>
        <w:adjustRightInd w:val="0"/>
        <w:rPr>
          <w:rFonts w:ascii="Calibri" w:eastAsia="GillSans" w:hAnsi="Calibri" w:cs="Calibri"/>
          <w:color w:val="000000"/>
          <w:sz w:val="46"/>
          <w:szCs w:val="46"/>
        </w:rPr>
      </w:pPr>
      <w:r w:rsidRPr="00075AF8">
        <w:rPr>
          <w:rFonts w:ascii="Calibri" w:eastAsia="GillSans" w:hAnsi="Calibri" w:cs="Calibri"/>
          <w:color w:val="000000"/>
          <w:sz w:val="36"/>
          <w:szCs w:val="36"/>
        </w:rPr>
        <w:t xml:space="preserve">High Temperature Superconductors Come To </w:t>
      </w:r>
      <w:smartTag w:uri="urn:schemas-microsoft-com:office:smarttags" w:element="place">
        <w:smartTag w:uri="urn:schemas-microsoft-com:office:smarttags" w:element="City">
          <w:r w:rsidRPr="00075AF8">
            <w:rPr>
              <w:rFonts w:ascii="Calibri" w:eastAsia="GillSans" w:hAnsi="Calibri" w:cs="Calibri"/>
              <w:color w:val="000000"/>
              <w:sz w:val="36"/>
              <w:szCs w:val="36"/>
            </w:rPr>
            <w:t>Manhattan</w:t>
          </w:r>
        </w:smartTag>
      </w:smartTag>
    </w:p>
    <w:p w14:paraId="5540F442" w14:textId="77777777" w:rsidR="00A471E8" w:rsidRDefault="00A471E8" w:rsidP="00A471E8">
      <w:pPr>
        <w:autoSpaceDE w:val="0"/>
        <w:autoSpaceDN w:val="0"/>
        <w:adjustRightInd w:val="0"/>
        <w:rPr>
          <w:rFonts w:eastAsia="GillSans" w:cs="Arial"/>
        </w:rPr>
      </w:pPr>
    </w:p>
    <w:p w14:paraId="37E7669D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Project Overview</w:t>
      </w:r>
    </w:p>
    <w:p w14:paraId="43585852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Project: Manhattan HTS Triax Project</w:t>
      </w:r>
    </w:p>
    <w:p w14:paraId="2F411FFA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Location: N. Manhattan/Yonkers, New York</w:t>
      </w:r>
    </w:p>
    <w:p w14:paraId="707479A8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Project Owner: Con Edison</w:t>
      </w:r>
    </w:p>
    <w:p w14:paraId="3F6C18F1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Product Used: HTS Triax Superconducting Cable</w:t>
      </w:r>
    </w:p>
    <w:p w14:paraId="3105B995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In-service Date: Expected May 2013</w:t>
      </w:r>
    </w:p>
    <w:p w14:paraId="43AD4F69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6ACC5784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Grappling with growing power demands in densely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populated Manhattan, Consolidated Edison Company</w:t>
      </w:r>
    </w:p>
    <w:p w14:paraId="3C466421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of New York (Con Edison) wanted to link an existing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substation with a new substation being built. They were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looking for an effective way to stage development to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match revenue flow and to defer expensive transformer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costs.</w:t>
      </w:r>
    </w:p>
    <w:p w14:paraId="737C2585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7CB84FDB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The solution is a 300-meter (984-foot), high-temperature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superconductor (HTS) cable from Southwire. The HTS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Triax cable will carry up to 4,000 A per phase at 13.8 kV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from the existing substation to the new site. As additional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transformers come to the new site, the HTS Triax cable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will serve as a bus link between the two substations,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increasing grid flexibility and system security. An added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innovation of this HTS Triax installation is a fault-current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limiting function that will further enhance distribution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reliability.</w:t>
      </w:r>
    </w:p>
    <w:p w14:paraId="45DC7E2B" w14:textId="77777777" w:rsidR="00E52F0B" w:rsidRDefault="00E52F0B" w:rsidP="00E52F0B">
      <w:pPr>
        <w:autoSpaceDE w:val="0"/>
        <w:autoSpaceDN w:val="0"/>
        <w:adjustRightInd w:val="0"/>
        <w:rPr>
          <w:rFonts w:ascii="GillSans" w:eastAsia="GillSans" w:hAnsi="Times New Roman" w:cs="GillSans"/>
          <w:color w:val="0D0D0D"/>
          <w:sz w:val="22"/>
          <w:szCs w:val="22"/>
        </w:rPr>
      </w:pPr>
    </w:p>
    <w:p w14:paraId="36E109F8" w14:textId="77777777" w:rsidR="00E52F0B" w:rsidRPr="00075AF8" w:rsidRDefault="00E52F0B" w:rsidP="00E52F0B">
      <w:pPr>
        <w:autoSpaceDE w:val="0"/>
        <w:autoSpaceDN w:val="0"/>
        <w:adjustRightInd w:val="0"/>
        <w:contextualSpacing/>
        <w:rPr>
          <w:rFonts w:ascii="Calibri" w:eastAsia="GillSans" w:hAnsi="Calibri" w:cs="Calibri"/>
          <w:color w:val="000000"/>
          <w:sz w:val="36"/>
          <w:szCs w:val="36"/>
        </w:rPr>
      </w:pPr>
      <w:r w:rsidRPr="00075AF8">
        <w:rPr>
          <w:rFonts w:ascii="Calibri" w:eastAsia="GillSans" w:hAnsi="Calibri" w:cs="Calibri"/>
          <w:color w:val="000000"/>
          <w:sz w:val="36"/>
          <w:szCs w:val="36"/>
        </w:rPr>
        <w:t>This HTS Triax substation bus-tie application lets Con Edison leverage transformer assets with a small equipment footprint, smaller right-of-way and avoidance of costly new transformers.</w:t>
      </w:r>
    </w:p>
    <w:p w14:paraId="72483A78" w14:textId="77777777" w:rsidR="00E52F0B" w:rsidRDefault="00E52F0B" w:rsidP="00E52F0B">
      <w:pPr>
        <w:autoSpaceDE w:val="0"/>
        <w:autoSpaceDN w:val="0"/>
        <w:adjustRightInd w:val="0"/>
        <w:rPr>
          <w:rFonts w:ascii="GillSans" w:eastAsia="GillSans" w:hAnsi="Times New Roman" w:cs="GillSans"/>
          <w:color w:val="000000"/>
          <w:sz w:val="16"/>
          <w:szCs w:val="16"/>
        </w:rPr>
      </w:pPr>
    </w:p>
    <w:p w14:paraId="57F80374" w14:textId="77777777" w:rsidR="00E52F0B" w:rsidRPr="00A471E8" w:rsidRDefault="00E52F0B" w:rsidP="00E52F0B">
      <w:pPr>
        <w:autoSpaceDE w:val="0"/>
        <w:autoSpaceDN w:val="0"/>
        <w:adjustRightInd w:val="0"/>
        <w:rPr>
          <w:rFonts w:ascii="GillSans" w:eastAsia="GillSans" w:hAnsi="Times New Roman" w:cs="GillSans"/>
          <w:color w:val="000000"/>
        </w:rPr>
      </w:pPr>
      <w:r w:rsidRPr="00A471E8">
        <w:rPr>
          <w:rFonts w:ascii="GillSans" w:eastAsia="GillSans" w:hAnsi="Times New Roman" w:cs="GillSans"/>
          <w:color w:val="000000"/>
        </w:rPr>
        <w:t>Project Hydra brings HTS Triax technology to densely populated</w:t>
      </w:r>
      <w:r w:rsidR="009B4628">
        <w:rPr>
          <w:rFonts w:ascii="GillSans" w:eastAsia="GillSans" w:hAnsi="Times New Roman" w:cs="GillSans"/>
          <w:color w:val="000000"/>
        </w:rPr>
        <w:t xml:space="preserve"> </w:t>
      </w:r>
      <w:r w:rsidRPr="00A471E8">
        <w:rPr>
          <w:rFonts w:ascii="GillSans" w:eastAsia="GillSans" w:hAnsi="Times New Roman" w:cs="GillSans"/>
          <w:color w:val="000000"/>
        </w:rPr>
        <w:t>Manhattan.</w:t>
      </w:r>
    </w:p>
    <w:p w14:paraId="60A96EB4" w14:textId="77777777" w:rsidR="00E52F0B" w:rsidRDefault="00E52F0B" w:rsidP="00E52F0B">
      <w:pPr>
        <w:autoSpaceDE w:val="0"/>
        <w:autoSpaceDN w:val="0"/>
        <w:adjustRightInd w:val="0"/>
        <w:rPr>
          <w:rFonts w:ascii="GillSans" w:eastAsia="GillSans" w:hAnsi="Times New Roman" w:cs="GillSans"/>
          <w:color w:val="000000"/>
          <w:sz w:val="36"/>
          <w:szCs w:val="36"/>
        </w:rPr>
      </w:pPr>
    </w:p>
    <w:p w14:paraId="5F08C901" w14:textId="77777777" w:rsidR="00E52F0B" w:rsidRPr="00075AF8" w:rsidRDefault="00E52F0B" w:rsidP="00E52F0B">
      <w:pPr>
        <w:autoSpaceDE w:val="0"/>
        <w:autoSpaceDN w:val="0"/>
        <w:adjustRightInd w:val="0"/>
        <w:rPr>
          <w:rFonts w:ascii="Calibri" w:eastAsia="GillSans" w:hAnsi="Calibri" w:cs="Calibri"/>
          <w:color w:val="000000"/>
          <w:sz w:val="36"/>
          <w:szCs w:val="36"/>
        </w:rPr>
      </w:pPr>
      <w:r w:rsidRPr="00075AF8">
        <w:rPr>
          <w:rFonts w:ascii="Calibri" w:eastAsia="GillSans" w:hAnsi="Calibri" w:cs="Calibri"/>
          <w:color w:val="000000"/>
          <w:sz w:val="36"/>
          <w:szCs w:val="36"/>
        </w:rPr>
        <w:t>Urban Density Requires High Distribution Capacity</w:t>
      </w:r>
    </w:p>
    <w:p w14:paraId="6F140E7E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The Manhattan installation, known as Project Hydra, will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use Southwire’s HTS Triax® Superconducting Cable to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relieve distribution congestion and reduce power delivery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costs. The high-capacity HTS Triax cable lets the two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Project Hydra substations share excess capacity during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peak loads or emergencies. The project is expected to be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in-service by May 2013.</w:t>
      </w:r>
    </w:p>
    <w:p w14:paraId="6F7CDD86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244B514C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HTS Triax systems operate at -320˚F (-196˚C) for ultralow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loss with high current. At 4,000 A per phase, this is the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highest capacity HTS cable built to date. The high capacity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is needed to meet expected power demands.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Manhattan HTS Triax links substations,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limits fault currents</w:t>
      </w:r>
    </w:p>
    <w:p w14:paraId="787A8E92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10BC7F90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When multiple substations are linked in a network,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there must be fault current protection between stations.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Project Hydra’s HTS Triax installation includes a built-in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fault-current limiting function. “The distribution grid in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Manhattan is so dense that protection from fault currents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 xml:space="preserve">is a </w:t>
      </w:r>
      <w:r w:rsidRPr="009B4628">
        <w:rPr>
          <w:rFonts w:eastAsia="GillSans" w:cs="Arial"/>
          <w:sz w:val="22"/>
          <w:szCs w:val="22"/>
        </w:rPr>
        <w:lastRenderedPageBreak/>
        <w:t>significant engineering problem,” says David Lindsay,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Director, Distribution Engineering for Southwire.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The HTS Triax fault-protection function enhances the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action of standard protection devices.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Costs dropping for established</w:t>
      </w:r>
    </w:p>
    <w:p w14:paraId="2A7668FE" w14:textId="77777777" w:rsidR="00E52F0B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T</w:t>
      </w:r>
      <w:r w:rsidR="00E52F0B" w:rsidRPr="009B4628">
        <w:rPr>
          <w:rFonts w:eastAsia="GillSans" w:cs="Arial"/>
          <w:sz w:val="22"/>
          <w:szCs w:val="22"/>
        </w:rPr>
        <w:t>echnology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="00E52F0B" w:rsidRPr="009B4628">
        <w:rPr>
          <w:rFonts w:eastAsia="GillSans" w:cs="Arial"/>
          <w:sz w:val="22"/>
          <w:szCs w:val="22"/>
        </w:rPr>
        <w:t>HTS is now commercial technology in the cost-reduction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="00E52F0B" w:rsidRPr="009B4628">
        <w:rPr>
          <w:rFonts w:eastAsia="GillSans" w:cs="Arial"/>
          <w:sz w:val="22"/>
          <w:szCs w:val="22"/>
        </w:rPr>
        <w:t>stage. Current HTS Triax systems use pulse-tube cryogenic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="00E52F0B" w:rsidRPr="009B4628">
        <w:rPr>
          <w:rFonts w:eastAsia="GillSans" w:cs="Arial"/>
          <w:sz w:val="22"/>
          <w:szCs w:val="22"/>
        </w:rPr>
        <w:t>cooling technology with fewer parts, lower cost, smaller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="00E52F0B" w:rsidRPr="009B4628">
        <w:rPr>
          <w:rFonts w:eastAsia="GillSans" w:cs="Arial"/>
          <w:sz w:val="22"/>
          <w:szCs w:val="22"/>
        </w:rPr>
        <w:t>footprint, and more energy-efficiency than older systems.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="00E52F0B" w:rsidRPr="009B4628">
        <w:rPr>
          <w:rFonts w:eastAsia="GillSans" w:cs="Arial"/>
          <w:sz w:val="22"/>
          <w:szCs w:val="22"/>
        </w:rPr>
        <w:t>The combined operational time of Southwire and joint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="00E52F0B" w:rsidRPr="009B4628">
        <w:rPr>
          <w:rFonts w:eastAsia="GillSans" w:cs="Arial"/>
          <w:sz w:val="22"/>
          <w:szCs w:val="22"/>
        </w:rPr>
        <w:t xml:space="preserve">venture partner </w:t>
      </w:r>
      <w:r w:rsidR="00075AF8" w:rsidRPr="009B4628">
        <w:rPr>
          <w:rFonts w:eastAsia="GillSans" w:cs="Arial"/>
          <w:sz w:val="22"/>
          <w:szCs w:val="22"/>
        </w:rPr>
        <w:t>NKT</w:t>
      </w:r>
      <w:r w:rsidR="00E52F0B" w:rsidRPr="009B4628">
        <w:rPr>
          <w:rFonts w:eastAsia="GillSans" w:cs="Arial"/>
          <w:sz w:val="22"/>
          <w:szCs w:val="22"/>
        </w:rPr>
        <w:t xml:space="preserve"> cables longest-running commercial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="00E52F0B" w:rsidRPr="009B4628">
        <w:rPr>
          <w:rFonts w:eastAsia="GillSans" w:cs="Arial"/>
          <w:sz w:val="22"/>
          <w:szCs w:val="22"/>
        </w:rPr>
        <w:t>HTS projects is over 11 years. HTS projects in-power, or</w:t>
      </w:r>
    </w:p>
    <w:p w14:paraId="1BA69C29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soon to be, include:</w:t>
      </w:r>
    </w:p>
    <w:p w14:paraId="61C19A19" w14:textId="77777777" w:rsidR="00A471E8" w:rsidRPr="009B4628" w:rsidRDefault="00A471E8" w:rsidP="00A471E8">
      <w:pPr>
        <w:autoSpaceDE w:val="0"/>
        <w:autoSpaceDN w:val="0"/>
        <w:adjustRightInd w:val="0"/>
        <w:ind w:left="360"/>
        <w:rPr>
          <w:rFonts w:eastAsia="GillSans" w:cs="Arial"/>
          <w:sz w:val="22"/>
          <w:szCs w:val="22"/>
        </w:rPr>
      </w:pPr>
    </w:p>
    <w:p w14:paraId="5B419CAD" w14:textId="77777777" w:rsidR="00E52F0B" w:rsidRPr="009B4628" w:rsidRDefault="00E52F0B" w:rsidP="00A471E8">
      <w:pPr>
        <w:autoSpaceDE w:val="0"/>
        <w:autoSpaceDN w:val="0"/>
        <w:adjustRightInd w:val="0"/>
        <w:ind w:left="36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• Columbus, Ohio</w:t>
      </w:r>
    </w:p>
    <w:p w14:paraId="7F2492C1" w14:textId="77777777" w:rsidR="00E52F0B" w:rsidRPr="009B4628" w:rsidRDefault="00E52F0B" w:rsidP="00A471E8">
      <w:pPr>
        <w:autoSpaceDE w:val="0"/>
        <w:autoSpaceDN w:val="0"/>
        <w:adjustRightInd w:val="0"/>
        <w:ind w:left="36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• Carrollton, Georgia</w:t>
      </w:r>
    </w:p>
    <w:p w14:paraId="391EE442" w14:textId="77777777" w:rsidR="00E52F0B" w:rsidRPr="009B4628" w:rsidRDefault="00E52F0B" w:rsidP="00A471E8">
      <w:pPr>
        <w:autoSpaceDE w:val="0"/>
        <w:autoSpaceDN w:val="0"/>
        <w:adjustRightInd w:val="0"/>
        <w:ind w:left="36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• Copenhagen, Denmark</w:t>
      </w:r>
    </w:p>
    <w:p w14:paraId="7127926A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1628CF91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 xml:space="preserve">Southwire HTS Triax delivers </w:t>
      </w:r>
      <w:r w:rsidR="00075AF8" w:rsidRPr="009B4628">
        <w:rPr>
          <w:rFonts w:eastAsia="GillSans" w:cs="Arial"/>
          <w:sz w:val="22"/>
          <w:szCs w:val="22"/>
        </w:rPr>
        <w:t>cost effective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distribution</w:t>
      </w:r>
    </w:p>
    <w:p w14:paraId="36AFA63F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0B899E0D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Southwire has been pioneering HTS projects since the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late 1990s. HTS Triax cable systems rely on Southwire’s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compact second-generation design, which puts all phase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conductors in one cable. These high-capacity, ultra-</w:t>
      </w:r>
      <w:r w:rsidR="00075AF8" w:rsidRPr="009B4628">
        <w:rPr>
          <w:rFonts w:eastAsia="GillSans" w:cs="Arial"/>
          <w:sz w:val="22"/>
          <w:szCs w:val="22"/>
        </w:rPr>
        <w:t>low loss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cables can be retrofitted into existing infrastructure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to relieve distribution bottlenecks in congested urban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grids.</w:t>
      </w:r>
    </w:p>
    <w:p w14:paraId="39810010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24EC2727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Lindsay says, “This HTS Triax substation bus-tie application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lets Con Edison leverage transformer assets with a small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equipment footprint, smaller right-of-way and avoidance of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costly new transformers.”</w:t>
      </w:r>
    </w:p>
    <w:p w14:paraId="12A6C5A2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22F88FC0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Partners Developed Manhattan</w:t>
      </w:r>
      <w:r w:rsidR="00A471E8" w:rsidRPr="009B4628">
        <w:rPr>
          <w:rFonts w:eastAsia="GillSans" w:cs="Arial"/>
          <w:sz w:val="22"/>
          <w:szCs w:val="22"/>
        </w:rPr>
        <w:t xml:space="preserve">, </w:t>
      </w:r>
      <w:r w:rsidRPr="009B4628">
        <w:rPr>
          <w:rFonts w:eastAsia="GillSans" w:cs="Arial"/>
          <w:sz w:val="22"/>
          <w:szCs w:val="22"/>
        </w:rPr>
        <w:t>New York HTS Triax Project</w:t>
      </w:r>
    </w:p>
    <w:p w14:paraId="34AF7F8F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4BBD5D60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The Manhattan New York HTS Triax installation is being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developed by Southwire Company and its partners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American Superconductor, Con Edison of New York, U.S.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Department of Energy Oak Ridge National Laboratory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and the U.S. Department of Homeland Security. The HTS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Triax cable was designed in the Ultera joint venture of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 xml:space="preserve">Southwire and </w:t>
      </w:r>
      <w:r w:rsidR="00075AF8" w:rsidRPr="009B4628">
        <w:rPr>
          <w:rFonts w:eastAsia="GillSans" w:cs="Arial"/>
          <w:sz w:val="22"/>
          <w:szCs w:val="22"/>
        </w:rPr>
        <w:t>NKT</w:t>
      </w:r>
      <w:r w:rsidRPr="009B4628">
        <w:rPr>
          <w:rFonts w:eastAsia="GillSans" w:cs="Arial"/>
          <w:sz w:val="22"/>
          <w:szCs w:val="22"/>
        </w:rPr>
        <w:t xml:space="preserve"> cables, a European cable manufacturer.</w:t>
      </w:r>
    </w:p>
    <w:p w14:paraId="3AB41034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28DE7D0C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“High-temperature” is Relative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“High-temperature” superconductivity (HTS) is relative:</w:t>
      </w:r>
    </w:p>
    <w:p w14:paraId="7A700D3F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37B92C90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HTS conductors run in liquid nitrogen at -320˚F (-196˚C).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 xml:space="preserve">Operating with almost no resistance, HTS puts </w:t>
      </w:r>
      <w:r w:rsidR="00075AF8" w:rsidRPr="009B4628">
        <w:rPr>
          <w:rFonts w:eastAsia="GillSans" w:cs="Arial"/>
          <w:sz w:val="22"/>
          <w:szCs w:val="22"/>
        </w:rPr>
        <w:t>high density</w:t>
      </w:r>
      <w:r w:rsidRPr="009B4628">
        <w:rPr>
          <w:rFonts w:eastAsia="GillSans" w:cs="Arial"/>
          <w:sz w:val="22"/>
          <w:szCs w:val="22"/>
        </w:rPr>
        <w:t>,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low-loss capacity in existing duct banks. That’s a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key to cost-effectiveness in urban settings.</w:t>
      </w:r>
    </w:p>
    <w:p w14:paraId="55EF61C2" w14:textId="77777777" w:rsidR="00A471E8" w:rsidRPr="009B4628" w:rsidRDefault="00A471E8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</w:p>
    <w:p w14:paraId="5B863A53" w14:textId="77777777" w:rsidR="00E52F0B" w:rsidRPr="009B4628" w:rsidRDefault="00E52F0B" w:rsidP="00A471E8">
      <w:pPr>
        <w:autoSpaceDE w:val="0"/>
        <w:autoSpaceDN w:val="0"/>
        <w:adjustRightInd w:val="0"/>
        <w:rPr>
          <w:rFonts w:eastAsia="GillSans" w:cs="Arial"/>
          <w:sz w:val="22"/>
          <w:szCs w:val="22"/>
        </w:rPr>
      </w:pPr>
      <w:r w:rsidRPr="009B4628">
        <w:rPr>
          <w:rFonts w:eastAsia="GillSans" w:cs="Arial"/>
          <w:sz w:val="22"/>
          <w:szCs w:val="22"/>
        </w:rPr>
        <w:t>HTS Triax cables provide high-capacity distribution-voltage links</w:t>
      </w:r>
      <w:r w:rsidR="009B4628" w:rsidRPr="009B4628">
        <w:rPr>
          <w:rFonts w:eastAsia="GillSans" w:cs="Arial"/>
          <w:sz w:val="22"/>
          <w:szCs w:val="22"/>
        </w:rPr>
        <w:t xml:space="preserve"> </w:t>
      </w:r>
      <w:r w:rsidRPr="009B4628">
        <w:rPr>
          <w:rFonts w:eastAsia="GillSans" w:cs="Arial"/>
          <w:sz w:val="22"/>
          <w:szCs w:val="22"/>
        </w:rPr>
        <w:t>between substations.</w:t>
      </w:r>
    </w:p>
    <w:sectPr w:rsidR="00E52F0B" w:rsidRPr="009B4628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Malgun Gothic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75AF8"/>
    <w:rsid w:val="004F3FD1"/>
    <w:rsid w:val="006F0E10"/>
    <w:rsid w:val="00741D75"/>
    <w:rsid w:val="007C2FC7"/>
    <w:rsid w:val="009745FC"/>
    <w:rsid w:val="009B4628"/>
    <w:rsid w:val="00A471E8"/>
    <w:rsid w:val="00D70521"/>
    <w:rsid w:val="00E5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8AAFA6"/>
  <w15:chartTrackingRefBased/>
  <w15:docId w15:val="{0E5351EE-1A10-4D4D-8FF3-D2AEF549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Temperature Superconductors Come To Manhattan</vt:lpstr>
    </vt:vector>
  </TitlesOfParts>
  <Company>DevTec Global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Temperature Superconductors Come To Manhattan</dc:title>
  <dc:subject/>
  <dc:creator>Tino Randall</dc:creator>
  <cp:keywords/>
  <dc:description/>
  <cp:lastModifiedBy>Tino Randall</cp:lastModifiedBy>
  <cp:revision>2</cp:revision>
  <dcterms:created xsi:type="dcterms:W3CDTF">2020-11-07T22:14:00Z</dcterms:created>
  <dcterms:modified xsi:type="dcterms:W3CDTF">2020-11-07T22:14:00Z</dcterms:modified>
</cp:coreProperties>
</file>